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5D0CE578" w14:textId="1788B357" w:rsidR="00472387" w:rsidRPr="00C82A8C" w:rsidRDefault="002A100D" w:rsidP="00F84A30">
            <w:pPr>
              <w:suppressAutoHyphens/>
              <w:rPr>
                <w:rFonts w:ascii="Arial" w:hAnsi="Arial" w:cs="Arial"/>
                <w:color w:val="000000" w:themeColor="text1"/>
                <w:sz w:val="14"/>
                <w:szCs w:val="14"/>
              </w:rPr>
            </w:pPr>
            <w:r>
              <w:rPr>
                <w:rFonts w:ascii="Arial" w:hAnsi="Arial" w:cs="Arial"/>
                <w:color w:val="000000" w:themeColor="text1"/>
                <w:sz w:val="14"/>
                <w:szCs w:val="14"/>
              </w:rPr>
              <w:t>Asl Pescara</w:t>
            </w: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4A5BC0F1"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r w:rsidR="00680512">
              <w:rPr>
                <w:rFonts w:ascii="Arial" w:hAnsi="Arial" w:cs="Arial"/>
                <w:b/>
                <w:color w:val="000000" w:themeColor="text1"/>
                <w:sz w:val="14"/>
                <w:szCs w:val="14"/>
              </w:rPr>
              <w:t xml:space="preserve"> fornitura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31457235" w:rsidR="000D6167" w:rsidRPr="006B1BC1" w:rsidRDefault="002A100D" w:rsidP="000C382B">
            <w:pPr>
              <w:rPr>
                <w:strike/>
              </w:rPr>
            </w:pPr>
            <w:r w:rsidRPr="002A100D">
              <w:rPr>
                <w:rFonts w:ascii="Arial" w:hAnsi="Arial" w:cs="Arial"/>
                <w:color w:val="000000" w:themeColor="text1"/>
                <w:sz w:val="14"/>
                <w:szCs w:val="14"/>
              </w:rPr>
              <w:t>PRO</w:t>
            </w:r>
            <w:r w:rsidR="00680512">
              <w:rPr>
                <w:rFonts w:ascii="Arial" w:hAnsi="Arial" w:cs="Arial"/>
                <w:color w:val="000000" w:themeColor="text1"/>
                <w:sz w:val="14"/>
                <w:szCs w:val="14"/>
              </w:rPr>
              <w:t>CEDURA APERTA PER LA FORNITURA</w:t>
            </w:r>
            <w:r w:rsidR="000C382B">
              <w:rPr>
                <w:rFonts w:ascii="Arial" w:hAnsi="Arial" w:cs="Arial"/>
                <w:color w:val="000000" w:themeColor="text1"/>
                <w:sz w:val="14"/>
                <w:szCs w:val="14"/>
              </w:rPr>
              <w:t xml:space="preserve">, </w:t>
            </w:r>
            <w:r w:rsidR="006B1BC1" w:rsidRPr="006B1BC1">
              <w:rPr>
                <w:rFonts w:ascii="Arial" w:hAnsi="Arial" w:cs="Arial"/>
                <w:strike/>
                <w:color w:val="000000" w:themeColor="text1"/>
                <w:sz w:val="14"/>
                <w:szCs w:val="14"/>
              </w:rPr>
              <w:t>MEDIANTE LA SOTTOSCRIZIONE DI UNA ACCORDO QUADRO  CON PIU’ OPERATORI, DI SISTEMI DI  MOTORI (TRAPANI) ELETTRICI ED A BATTERIA, PER LA UO DI ORTOPEDIA DEI PP.OO  DELLA AUSL DI PESCARA</w:t>
            </w:r>
            <w:r w:rsidR="000C382B">
              <w:rPr>
                <w:rFonts w:ascii="Arial" w:hAnsi="Arial" w:cs="Arial"/>
                <w:strike/>
                <w:color w:val="000000" w:themeColor="text1"/>
                <w:sz w:val="14"/>
                <w:szCs w:val="14"/>
              </w:rPr>
              <w:t xml:space="preserve">, </w:t>
            </w:r>
            <w:r w:rsidR="000C382B" w:rsidRPr="000C382B">
              <w:rPr>
                <w:rFonts w:ascii="Arial" w:hAnsi="Arial" w:cs="Arial"/>
                <w:color w:val="000000" w:themeColor="text1"/>
                <w:sz w:val="14"/>
                <w:szCs w:val="14"/>
              </w:rPr>
              <w:t>D</w:t>
            </w:r>
            <w:r w:rsidR="000C382B">
              <w:rPr>
                <w:rFonts w:ascii="Arial" w:hAnsi="Arial" w:cs="Arial"/>
                <w:color w:val="000000" w:themeColor="text1"/>
                <w:sz w:val="14"/>
                <w:szCs w:val="14"/>
              </w:rPr>
              <w:t>I N.9 ECOGRAFI (SUDDIVISI IN 4 LOTTI FUNZIONALI) PER LE ESIGENZE DELLA ASL DI PESCARA.</w:t>
            </w:r>
            <w:bookmarkStart w:id="0" w:name="_GoBack"/>
            <w:bookmarkEnd w:id="0"/>
            <w:r w:rsidR="000C382B">
              <w:rPr>
                <w:rFonts w:ascii="Arial" w:hAnsi="Arial" w:cs="Arial"/>
                <w:color w:val="000000" w:themeColor="text1"/>
                <w:sz w:val="14"/>
                <w:szCs w:val="14"/>
              </w:rPr>
              <w:t xml:space="preserve">  </w:t>
            </w: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5C33AF8D" w:rsidR="000D6167" w:rsidRPr="006B1BC1" w:rsidRDefault="000D6167" w:rsidP="000C71A5">
            <w:pPr>
              <w:rPr>
                <w:strike/>
              </w:rPr>
            </w:pPr>
            <w:r w:rsidRPr="00367F8C">
              <w:rPr>
                <w:rFonts w:ascii="Arial" w:hAnsi="Arial" w:cs="Arial"/>
                <w:color w:val="000000" w:themeColor="text1"/>
                <w:sz w:val="14"/>
                <w:szCs w:val="14"/>
              </w:rPr>
              <w:t xml:space="preserve">ID </w:t>
            </w:r>
            <w:r w:rsidR="006B1BC1" w:rsidRPr="00AD2347">
              <w:rPr>
                <w:rFonts w:ascii="Arial" w:hAnsi="Arial" w:cs="Arial"/>
                <w:strike/>
                <w:color w:val="000000" w:themeColor="text1"/>
                <w:sz w:val="14"/>
                <w:szCs w:val="14"/>
              </w:rPr>
              <w:t>1780</w:t>
            </w:r>
            <w:r w:rsidR="00380BD1">
              <w:rPr>
                <w:rFonts w:ascii="Arial" w:hAnsi="Arial" w:cs="Arial"/>
                <w:color w:val="000000" w:themeColor="text1"/>
                <w:sz w:val="14"/>
                <w:szCs w:val="14"/>
              </w:rPr>
              <w:t xml:space="preserve">  </w:t>
            </w:r>
            <w:r w:rsidR="000C71A5">
              <w:rPr>
                <w:rFonts w:ascii="Arial" w:hAnsi="Arial" w:cs="Arial"/>
                <w:color w:val="000000" w:themeColor="text1"/>
                <w:sz w:val="14"/>
                <w:szCs w:val="14"/>
              </w:rPr>
              <w:t>169/2018.</w:t>
            </w:r>
            <w:r w:rsidR="00380BD1">
              <w:rPr>
                <w:rFonts w:ascii="Arial" w:hAnsi="Arial" w:cs="Arial"/>
                <w:strike/>
                <w:color w:val="000000" w:themeColor="text1"/>
                <w:sz w:val="14"/>
                <w:szCs w:val="14"/>
              </w:rPr>
              <w:t xml:space="preserve"> </w:t>
            </w: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2EC13348" w14:textId="77777777" w:rsidR="000C71A5" w:rsidRDefault="000C71A5" w:rsidP="00F84A30">
            <w:pPr>
              <w:rPr>
                <w:rFonts w:ascii="Arial" w:hAnsi="Arial" w:cs="Arial"/>
                <w:color w:val="000000" w:themeColor="text1"/>
                <w:sz w:val="14"/>
                <w:szCs w:val="14"/>
              </w:rPr>
            </w:pPr>
          </w:p>
          <w:p w14:paraId="44D9180A" w14:textId="77777777" w:rsidR="000C71A5" w:rsidRDefault="000C71A5" w:rsidP="00F84A30">
            <w:pPr>
              <w:rPr>
                <w:rFonts w:ascii="Arial" w:hAnsi="Arial" w:cs="Arial"/>
                <w:color w:val="000000" w:themeColor="text1"/>
                <w:sz w:val="14"/>
                <w:szCs w:val="14"/>
              </w:rPr>
            </w:pP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9D634DA" w14:textId="2B9CF1B5" w:rsidR="000C71A5" w:rsidRPr="000C71A5" w:rsidRDefault="004B1B84" w:rsidP="000C71A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14"/>
                <w:szCs w:val="14"/>
              </w:rPr>
            </w:pPr>
            <w:r w:rsidRPr="00C82A8C">
              <w:rPr>
                <w:rFonts w:ascii="Arial" w:hAnsi="Arial" w:cs="Arial"/>
                <w:color w:val="000000" w:themeColor="text1"/>
                <w:sz w:val="14"/>
                <w:szCs w:val="14"/>
              </w:rPr>
              <w:t>[</w:t>
            </w:r>
            <w:r w:rsidR="006B1BC1">
              <w:rPr>
                <w:rFonts w:ascii="Arial" w:hAnsi="Arial" w:cs="Arial"/>
                <w:color w:val="000000" w:themeColor="text1"/>
                <w:sz w:val="14"/>
                <w:szCs w:val="14"/>
              </w:rPr>
              <w:t xml:space="preserve"> </w:t>
            </w:r>
            <w:r w:rsidR="006B1BC1" w:rsidRPr="00AD2347">
              <w:rPr>
                <w:rFonts w:ascii="Arial" w:hAnsi="Arial" w:cs="Arial"/>
                <w:strike/>
                <w:color w:val="000000" w:themeColor="text1"/>
                <w:sz w:val="14"/>
                <w:szCs w:val="14"/>
              </w:rPr>
              <w:t>71613450D9</w:t>
            </w:r>
            <w:r w:rsidRPr="00C82A8C">
              <w:rPr>
                <w:rFonts w:ascii="Arial" w:hAnsi="Arial" w:cs="Arial"/>
                <w:color w:val="000000" w:themeColor="text1"/>
                <w:sz w:val="14"/>
                <w:szCs w:val="14"/>
              </w:rPr>
              <w:t xml:space="preserve"> </w:t>
            </w:r>
            <w:r w:rsidR="000C71A5">
              <w:rPr>
                <w:rFonts w:ascii="Arial" w:hAnsi="Arial" w:cs="Arial"/>
                <w:color w:val="000000" w:themeColor="text1"/>
                <w:sz w:val="14"/>
                <w:szCs w:val="14"/>
              </w:rPr>
              <w:t xml:space="preserve"> Lotto 1 </w:t>
            </w:r>
            <w:r w:rsidR="000C71A5" w:rsidRPr="000C71A5">
              <w:rPr>
                <w:rFonts w:ascii="Arial" w:hAnsi="Arial" w:cs="Arial"/>
                <w:color w:val="000000"/>
                <w:sz w:val="14"/>
                <w:szCs w:val="14"/>
              </w:rPr>
              <w:t>7391598B9F</w:t>
            </w:r>
            <w:r w:rsidR="000C71A5">
              <w:rPr>
                <w:rFonts w:ascii="Arial" w:hAnsi="Arial" w:cs="Arial"/>
                <w:color w:val="000000"/>
                <w:sz w:val="14"/>
                <w:szCs w:val="14"/>
              </w:rPr>
              <w:t xml:space="preserve">, Lotto 2  </w:t>
            </w:r>
            <w:r w:rsidR="000C71A5" w:rsidRPr="000C71A5">
              <w:rPr>
                <w:rFonts w:ascii="Arial" w:hAnsi="Arial" w:cs="Arial"/>
                <w:color w:val="000000"/>
                <w:sz w:val="14"/>
                <w:szCs w:val="14"/>
              </w:rPr>
              <w:t>73916083E2</w:t>
            </w:r>
            <w:r w:rsidR="000C71A5">
              <w:rPr>
                <w:rFonts w:ascii="Arial" w:hAnsi="Arial" w:cs="Arial"/>
                <w:color w:val="000000"/>
                <w:sz w:val="14"/>
                <w:szCs w:val="14"/>
              </w:rPr>
              <w:t xml:space="preserve"> Lotto 3 </w:t>
            </w:r>
            <w:r w:rsidR="000C71A5" w:rsidRPr="000C71A5">
              <w:rPr>
                <w:rFonts w:ascii="Arial" w:hAnsi="Arial" w:cs="Arial"/>
                <w:color w:val="000000"/>
                <w:sz w:val="14"/>
                <w:szCs w:val="14"/>
              </w:rPr>
              <w:t>7391613801</w:t>
            </w:r>
            <w:r w:rsidR="000C71A5">
              <w:rPr>
                <w:rFonts w:ascii="Arial" w:hAnsi="Arial" w:cs="Arial"/>
                <w:color w:val="000000"/>
                <w:sz w:val="14"/>
                <w:szCs w:val="14"/>
              </w:rPr>
              <w:t xml:space="preserve"> Lotto 4 </w:t>
            </w:r>
            <w:r w:rsidR="000C71A5" w:rsidRPr="000C71A5">
              <w:rPr>
                <w:rFonts w:ascii="Arial" w:hAnsi="Arial" w:cs="Arial"/>
                <w:color w:val="000000"/>
                <w:sz w:val="14"/>
                <w:szCs w:val="14"/>
              </w:rPr>
              <w:t>7391618C20</w:t>
            </w:r>
            <w:r w:rsidR="000C71A5">
              <w:rPr>
                <w:rFonts w:ascii="Arial" w:hAnsi="Arial" w:cs="Arial"/>
                <w:color w:val="000000"/>
                <w:sz w:val="14"/>
                <w:szCs w:val="14"/>
              </w:rPr>
              <w:t>]</w:t>
            </w:r>
          </w:p>
          <w:p w14:paraId="08DCDDD3" w14:textId="7A9F21AE" w:rsidR="000C71A5" w:rsidRPr="00001947" w:rsidRDefault="000C71A5" w:rsidP="000C71A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Black" w:hAnsi="Arial Black" w:cs="Calibri"/>
                <w:b/>
                <w:color w:val="000000"/>
                <w:szCs w:val="24"/>
              </w:rPr>
            </w:pPr>
            <w:r w:rsidRPr="000C71A5">
              <w:rPr>
                <w:rFonts w:ascii="Arial" w:hAnsi="Arial" w:cs="Arial"/>
                <w:color w:val="000000"/>
                <w:sz w:val="14"/>
                <w:szCs w:val="14"/>
              </w:rPr>
              <w:t xml:space="preserve"> </w:t>
            </w:r>
          </w:p>
          <w:p w14:paraId="4F3BB6D0" w14:textId="0D807AD8" w:rsidR="000C71A5" w:rsidRPr="000C71A5" w:rsidRDefault="000C71A5" w:rsidP="006B1BC1">
            <w:pPr>
              <w:rPr>
                <w:rFonts w:ascii="Arial" w:hAnsi="Arial" w:cs="Arial"/>
                <w:strike/>
                <w:sz w:val="14"/>
                <w:szCs w:val="14"/>
              </w:rPr>
            </w:pPr>
            <w:r>
              <w:rPr>
                <w:rFonts w:ascii="Arial" w:hAnsi="Arial" w:cs="Arial"/>
                <w:color w:val="000000"/>
                <w:sz w:val="14"/>
                <w:szCs w:val="14"/>
              </w:rPr>
              <w:t xml:space="preserve">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lastRenderedPageBreak/>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06A02" w14:textId="77777777" w:rsidR="0089667A" w:rsidRDefault="0089667A" w:rsidP="00472387">
      <w:pPr>
        <w:spacing w:before="0" w:after="0"/>
      </w:pPr>
      <w:r>
        <w:separator/>
      </w:r>
    </w:p>
  </w:endnote>
  <w:endnote w:type="continuationSeparator" w:id="0">
    <w:p w14:paraId="34861C1C" w14:textId="77777777" w:rsidR="0089667A" w:rsidRDefault="0089667A" w:rsidP="00472387">
      <w:pPr>
        <w:spacing w:before="0" w:after="0"/>
      </w:pPr>
      <w:r>
        <w:continuationSeparator/>
      </w:r>
    </w:p>
  </w:endnote>
  <w:endnote w:type="continuationNotice" w:id="1">
    <w:p w14:paraId="18BD0245" w14:textId="77777777" w:rsidR="0089667A" w:rsidRDefault="008966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0C382B">
          <w:rPr>
            <w:noProof/>
          </w:rPr>
          <w:t>1</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2FD35" w14:textId="77777777" w:rsidR="0089667A" w:rsidRDefault="0089667A" w:rsidP="00472387">
      <w:pPr>
        <w:spacing w:before="0" w:after="0"/>
      </w:pPr>
      <w:r>
        <w:separator/>
      </w:r>
    </w:p>
  </w:footnote>
  <w:footnote w:type="continuationSeparator" w:id="0">
    <w:p w14:paraId="3C4018F0" w14:textId="77777777" w:rsidR="0089667A" w:rsidRDefault="0089667A" w:rsidP="00472387">
      <w:pPr>
        <w:spacing w:before="0" w:after="0"/>
      </w:pPr>
      <w:r>
        <w:continuationSeparator/>
      </w:r>
    </w:p>
  </w:footnote>
  <w:footnote w:type="continuationNotice" w:id="1">
    <w:p w14:paraId="44C06D5C" w14:textId="77777777" w:rsidR="0089667A" w:rsidRDefault="0089667A">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382B"/>
    <w:rsid w:val="000C46EE"/>
    <w:rsid w:val="000C71A5"/>
    <w:rsid w:val="000D6167"/>
    <w:rsid w:val="000E4829"/>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2C0A"/>
    <w:rsid w:val="001E73E4"/>
    <w:rsid w:val="001F7093"/>
    <w:rsid w:val="00207E68"/>
    <w:rsid w:val="0021763D"/>
    <w:rsid w:val="002277BD"/>
    <w:rsid w:val="002279DA"/>
    <w:rsid w:val="00233D04"/>
    <w:rsid w:val="00234EE3"/>
    <w:rsid w:val="002422A2"/>
    <w:rsid w:val="00256D5B"/>
    <w:rsid w:val="00256E36"/>
    <w:rsid w:val="00261560"/>
    <w:rsid w:val="00267B27"/>
    <w:rsid w:val="00276A95"/>
    <w:rsid w:val="00287EFD"/>
    <w:rsid w:val="002938D7"/>
    <w:rsid w:val="002A100D"/>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0BD1"/>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3B1A"/>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0512"/>
    <w:rsid w:val="006818E4"/>
    <w:rsid w:val="00681D57"/>
    <w:rsid w:val="00696DF7"/>
    <w:rsid w:val="006A77F4"/>
    <w:rsid w:val="006A7B46"/>
    <w:rsid w:val="006B1165"/>
    <w:rsid w:val="006B1BC1"/>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9667A"/>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3178"/>
    <w:rsid w:val="009A5061"/>
    <w:rsid w:val="009B2636"/>
    <w:rsid w:val="009B6F04"/>
    <w:rsid w:val="009C3EDC"/>
    <w:rsid w:val="009C5BCA"/>
    <w:rsid w:val="009F1423"/>
    <w:rsid w:val="009F5329"/>
    <w:rsid w:val="009F5F5E"/>
    <w:rsid w:val="00A01B04"/>
    <w:rsid w:val="00A0355B"/>
    <w:rsid w:val="00A24608"/>
    <w:rsid w:val="00A2757B"/>
    <w:rsid w:val="00A3053F"/>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0F52"/>
    <w:rsid w:val="00CE5838"/>
    <w:rsid w:val="00D036D9"/>
    <w:rsid w:val="00D1455D"/>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1D02"/>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D6FE0"/>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BBC9D-D964-4152-AB44-15272E0A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6458</Words>
  <Characters>36815</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43187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2018-02-16T09:09:00Z</dcterms:created>
  <dcterms:modified xsi:type="dcterms:W3CDTF">2018-03-20T11:52:00Z</dcterms:modified>
</cp:coreProperties>
</file>